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黑体" w:hAnsi="黑体" w:eastAsia="黑体" w:cs="Arial"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kern w:val="36"/>
          <w:sz w:val="32"/>
          <w:szCs w:val="32"/>
        </w:rPr>
        <w:t>阳光城集团股份有限公司</w:t>
      </w:r>
    </w:p>
    <w:p>
      <w:pPr>
        <w:widowControl/>
        <w:spacing w:line="480" w:lineRule="auto"/>
        <w:jc w:val="center"/>
        <w:rPr>
          <w:rFonts w:ascii="黑体" w:hAnsi="黑体" w:eastAsia="黑体" w:cs="Arial"/>
          <w:kern w:val="36"/>
          <w:sz w:val="32"/>
          <w:szCs w:val="32"/>
        </w:rPr>
      </w:pPr>
      <w:r>
        <w:rPr>
          <w:rFonts w:hint="eastAsia" w:ascii="黑体" w:hAnsi="黑体" w:eastAsia="黑体" w:cs="Arial"/>
          <w:kern w:val="36"/>
          <w:sz w:val="32"/>
          <w:szCs w:val="32"/>
        </w:rPr>
        <w:t>关于</w:t>
      </w:r>
      <w:r>
        <w:rPr>
          <w:rFonts w:ascii="黑体" w:hAnsi="黑体" w:eastAsia="黑体" w:cs="Arial"/>
          <w:kern w:val="36"/>
          <w:sz w:val="32"/>
          <w:szCs w:val="32"/>
        </w:rPr>
        <w:t>开展</w:t>
      </w:r>
      <w:r>
        <w:rPr>
          <w:rFonts w:hint="eastAsia" w:ascii="黑体" w:hAnsi="黑体" w:eastAsia="黑体" w:cs="Arial"/>
          <w:kern w:val="36"/>
          <w:sz w:val="32"/>
          <w:szCs w:val="32"/>
        </w:rPr>
        <w:t>“理性投资、从我做起”投资者</w:t>
      </w:r>
      <w:r>
        <w:rPr>
          <w:rFonts w:ascii="黑体" w:hAnsi="黑体" w:eastAsia="黑体" w:cs="Arial"/>
          <w:kern w:val="36"/>
          <w:sz w:val="32"/>
          <w:szCs w:val="32"/>
        </w:rPr>
        <w:t>教育</w:t>
      </w:r>
    </w:p>
    <w:p>
      <w:pPr>
        <w:widowControl/>
        <w:spacing w:line="480" w:lineRule="auto"/>
        <w:jc w:val="center"/>
        <w:rPr>
          <w:rFonts w:ascii="黑体" w:hAnsi="黑体" w:eastAsia="黑体" w:cs="Arial"/>
          <w:kern w:val="36"/>
          <w:sz w:val="32"/>
          <w:szCs w:val="32"/>
        </w:rPr>
      </w:pPr>
      <w:r>
        <w:rPr>
          <w:rFonts w:ascii="黑体" w:hAnsi="黑体" w:eastAsia="黑体" w:cs="Arial"/>
          <w:kern w:val="36"/>
          <w:sz w:val="32"/>
          <w:szCs w:val="32"/>
        </w:rPr>
        <w:t>专项活动</w:t>
      </w:r>
      <w:r>
        <w:rPr>
          <w:rFonts w:hint="eastAsia" w:ascii="黑体" w:hAnsi="黑体" w:eastAsia="黑体" w:cs="Arial"/>
          <w:kern w:val="36"/>
          <w:sz w:val="32"/>
          <w:szCs w:val="32"/>
        </w:rPr>
        <w:t>的总结报告</w:t>
      </w:r>
    </w:p>
    <w:p>
      <w:pPr>
        <w:pStyle w:val="6"/>
        <w:spacing w:before="0" w:beforeAutospacing="0" w:after="0" w:afterAutospacing="0" w:line="480" w:lineRule="auto"/>
        <w:rPr>
          <w:rFonts w:asciiTheme="minorEastAsia" w:hAnsiTheme="minorEastAsia" w:eastAsiaTheme="minorEastAsia"/>
          <w:color w:val="000000"/>
        </w:rPr>
      </w:pPr>
    </w:p>
    <w:p>
      <w:pPr>
        <w:pStyle w:val="6"/>
        <w:widowControl w:val="0"/>
        <w:spacing w:before="0" w:beforeAutospacing="0" w:after="0" w:afterAutospacing="0" w:line="480" w:lineRule="auto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ascii="仿宋" w:hAnsi="仿宋" w:eastAsia="仿宋"/>
          <w:color w:val="000000" w:themeColor="text1"/>
          <w:sz w:val="28"/>
          <w:szCs w:val="28"/>
        </w:rPr>
        <w:t>为了落实党的十九大提出的“增强金融服务实体经济能力”、“促进多层次资本市场健康发展”、“守住不发生系统性金融风险的底线”要求，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进一步加强投资者教育，持续提高中小投资者的专业知识水平和风险防范意识，阳光城集团股份有限公司（以下简称“公司”）根据福建证监局《关于开展“理性投资、从我做起”投资者教育专项活动的通知》【福证监发（2018）65号】的要求，结合公司实际情况，深入开展了以</w:t>
      </w:r>
      <w:r>
        <w:rPr>
          <w:rFonts w:ascii="仿宋" w:hAnsi="仿宋" w:eastAsia="仿宋"/>
          <w:color w:val="000000" w:themeColor="text1"/>
          <w:sz w:val="28"/>
          <w:szCs w:val="28"/>
        </w:rPr>
        <w:t>“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理性投资、从我做起”为主题的投资者教育专项活动，以</w:t>
      </w:r>
      <w:r>
        <w:rPr>
          <w:rFonts w:ascii="仿宋" w:hAnsi="仿宋" w:eastAsia="仿宋"/>
          <w:color w:val="000000" w:themeColor="text1"/>
          <w:sz w:val="28"/>
          <w:szCs w:val="28"/>
        </w:rPr>
        <w:t>帮助投资者了解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证</w:t>
      </w:r>
      <w:r>
        <w:rPr>
          <w:rFonts w:ascii="仿宋" w:hAnsi="仿宋" w:eastAsia="仿宋"/>
          <w:color w:val="000000" w:themeColor="text1"/>
          <w:sz w:val="28"/>
          <w:szCs w:val="28"/>
        </w:rPr>
        <w:t>券投资的相关法规和知识，</w:t>
      </w:r>
      <w:r>
        <w:rPr>
          <w:rStyle w:val="15"/>
          <w:rFonts w:ascii="仿宋" w:hAnsi="仿宋" w:eastAsia="仿宋"/>
          <w:color w:val="000000" w:themeColor="text1"/>
          <w:sz w:val="28"/>
          <w:szCs w:val="28"/>
        </w:rPr>
        <w:t>引导投资者树立理性投资理念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，培育长期投资、价值投资文化。现将本次专项活动总结如下：</w:t>
      </w:r>
    </w:p>
    <w:p>
      <w:pPr>
        <w:pStyle w:val="6"/>
        <w:widowControl w:val="0"/>
        <w:spacing w:before="0" w:beforeAutospacing="0" w:after="0" w:afterAutospacing="0" w:line="480" w:lineRule="auto"/>
        <w:ind w:firstLine="562" w:firstLineChars="200"/>
        <w:jc w:val="both"/>
        <w:rPr>
          <w:rFonts w:ascii="仿宋" w:hAnsi="仿宋" w:eastAsia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一、积极组织，统筹推进</w:t>
      </w:r>
    </w:p>
    <w:p>
      <w:pPr>
        <w:pStyle w:val="6"/>
        <w:widowControl w:val="0"/>
        <w:spacing w:before="0" w:beforeAutospacing="0" w:after="0" w:afterAutospacing="0" w:line="480" w:lineRule="auto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本次投资者教育活动，时间紧任务重，但公司坚持从实际出发，严密组织，统筹推进，主动筹划部署，制定了适合公司的各项活动实施方案，通过宣传引导，狠抓落实，使教育活动取得成效。</w:t>
      </w:r>
    </w:p>
    <w:p>
      <w:pPr>
        <w:pStyle w:val="6"/>
        <w:widowControl w:val="0"/>
        <w:spacing w:before="0" w:beforeAutospacing="0" w:after="0" w:afterAutospacing="0" w:line="480" w:lineRule="auto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在本次活动期间，公司科学安排，</w:t>
      </w:r>
      <w:r>
        <w:rPr>
          <w:rFonts w:ascii="仿宋" w:hAnsi="仿宋" w:eastAsia="仿宋"/>
          <w:color w:val="000000" w:themeColor="text1"/>
          <w:sz w:val="28"/>
          <w:szCs w:val="28"/>
        </w:rPr>
        <w:t>通过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公司网站、业绩说明会、</w:t>
      </w:r>
      <w:r>
        <w:rPr>
          <w:rFonts w:ascii="仿宋" w:hAnsi="仿宋" w:eastAsia="仿宋"/>
          <w:color w:val="000000" w:themeColor="text1"/>
          <w:sz w:val="28"/>
          <w:szCs w:val="28"/>
        </w:rPr>
        <w:t>现场调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研、互动易平台、邮件及电话等方式，</w:t>
      </w:r>
      <w:r>
        <w:rPr>
          <w:rFonts w:ascii="仿宋" w:hAnsi="仿宋" w:eastAsia="仿宋"/>
          <w:color w:val="000000" w:themeColor="text1"/>
          <w:sz w:val="28"/>
          <w:szCs w:val="28"/>
        </w:rPr>
        <w:t>加强与各类投资者的沟通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</w:rPr>
        <w:t>良性互动，扩大债券投资者和社会公众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投资者的</w:t>
      </w:r>
      <w:r>
        <w:rPr>
          <w:rFonts w:ascii="仿宋" w:hAnsi="仿宋" w:eastAsia="仿宋"/>
          <w:color w:val="000000" w:themeColor="text1"/>
          <w:sz w:val="28"/>
          <w:szCs w:val="28"/>
        </w:rPr>
        <w:t>教育覆盖面，形成多层次、立体化的宣传效果，切实保护投资者合法权益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，确保本次活动取得实际性效果</w:t>
      </w:r>
      <w:r>
        <w:rPr>
          <w:rFonts w:ascii="仿宋" w:hAnsi="仿宋" w:eastAsia="仿宋"/>
          <w:color w:val="000000" w:themeColor="text1"/>
          <w:sz w:val="28"/>
          <w:szCs w:val="28"/>
        </w:rPr>
        <w:t>。</w:t>
      </w:r>
    </w:p>
    <w:p>
      <w:pPr>
        <w:pStyle w:val="6"/>
        <w:widowControl w:val="0"/>
        <w:spacing w:before="0" w:beforeAutospacing="0" w:after="0" w:afterAutospacing="0" w:line="480" w:lineRule="auto"/>
        <w:ind w:firstLine="562" w:firstLineChars="200"/>
        <w:jc w:val="both"/>
        <w:rPr>
          <w:rFonts w:ascii="仿宋" w:hAnsi="仿宋" w:eastAsia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二、走进上市公司，</w:t>
      </w:r>
      <w:r>
        <w:rPr>
          <w:rFonts w:ascii="仿宋" w:hAnsi="仿宋" w:eastAsia="仿宋"/>
          <w:b/>
          <w:color w:val="000000" w:themeColor="text1"/>
          <w:sz w:val="28"/>
          <w:szCs w:val="28"/>
        </w:rPr>
        <w:t>增强投资者信心</w:t>
      </w:r>
    </w:p>
    <w:p>
      <w:pPr>
        <w:pStyle w:val="6"/>
        <w:widowControl w:val="0"/>
        <w:spacing w:before="0" w:beforeAutospacing="0" w:after="0" w:afterAutospacing="0" w:line="480" w:lineRule="auto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为引导中小投资者正确认识资本市场，熟悉上市公司，推动中小投资者正确认识权利意识，公司积极开展了投资者走进上市公司的活动。</w:t>
      </w:r>
    </w:p>
    <w:p>
      <w:pPr>
        <w:pStyle w:val="6"/>
        <w:widowControl w:val="0"/>
        <w:spacing w:before="0" w:beforeAutospacing="0" w:after="0" w:afterAutospacing="0" w:line="480" w:lineRule="auto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公司作为A股高成长性的房地产企业上市公司，一直备受业界关注。公司于2018年4月17日召开2017年度业绩说明会，共吸引众多机构投资者到场。通过管理层与投资者面对面的沟通与交流，一方面，展示了公司未来公司发展战略及潜力，树立了良好的资本市场形象；另一方面，使得投资者对阳光城有了全新的认识，</w:t>
      </w:r>
      <w:r>
        <w:rPr>
          <w:rFonts w:ascii="仿宋" w:hAnsi="仿宋" w:eastAsia="仿宋"/>
          <w:color w:val="000000" w:themeColor="text1"/>
          <w:sz w:val="28"/>
          <w:szCs w:val="28"/>
        </w:rPr>
        <w:t>增强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了</w:t>
      </w:r>
      <w:r>
        <w:rPr>
          <w:rFonts w:ascii="仿宋" w:hAnsi="仿宋" w:eastAsia="仿宋"/>
          <w:color w:val="000000" w:themeColor="text1"/>
          <w:sz w:val="28"/>
          <w:szCs w:val="28"/>
        </w:rPr>
        <w:t>投资者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的</w:t>
      </w:r>
      <w:r>
        <w:rPr>
          <w:rFonts w:ascii="仿宋" w:hAnsi="仿宋" w:eastAsia="仿宋"/>
          <w:color w:val="000000" w:themeColor="text1"/>
          <w:sz w:val="28"/>
          <w:szCs w:val="28"/>
        </w:rPr>
        <w:t>信心，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提高了风险意识，切实维护广大投资者的合法权益，</w:t>
      </w:r>
      <w:r>
        <w:rPr>
          <w:rFonts w:ascii="仿宋" w:hAnsi="仿宋" w:eastAsia="仿宋"/>
          <w:color w:val="000000" w:themeColor="text1"/>
          <w:sz w:val="28"/>
          <w:szCs w:val="28"/>
        </w:rPr>
        <w:t>促进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证券</w:t>
      </w:r>
      <w:r>
        <w:rPr>
          <w:rFonts w:ascii="仿宋" w:hAnsi="仿宋" w:eastAsia="仿宋"/>
          <w:color w:val="000000" w:themeColor="text1"/>
          <w:sz w:val="28"/>
          <w:szCs w:val="28"/>
        </w:rPr>
        <w:t>市场</w:t>
      </w:r>
      <w:r>
        <w:fldChar w:fldCharType="begin"/>
      </w:r>
      <w:r>
        <w:instrText xml:space="preserve"> HYPERLINK "http://www.unjs.com/xuexi/redianyuedu/" </w:instrText>
      </w:r>
      <w:r>
        <w:fldChar w:fldCharType="separate"/>
      </w:r>
      <w:r>
        <w:rPr>
          <w:rFonts w:ascii="仿宋" w:hAnsi="仿宋" w:eastAsia="仿宋"/>
          <w:color w:val="000000" w:themeColor="text1"/>
          <w:sz w:val="28"/>
          <w:szCs w:val="28"/>
        </w:rPr>
        <w:t>健康</w:t>
      </w:r>
      <w:r>
        <w:rPr>
          <w:rFonts w:ascii="仿宋" w:hAnsi="仿宋" w:eastAsia="仿宋"/>
          <w:color w:val="000000" w:themeColor="text1"/>
          <w:sz w:val="28"/>
          <w:szCs w:val="28"/>
        </w:rPr>
        <w:fldChar w:fldCharType="end"/>
      </w:r>
      <w:r>
        <w:rPr>
          <w:rFonts w:ascii="仿宋" w:hAnsi="仿宋" w:eastAsia="仿宋"/>
          <w:color w:val="000000" w:themeColor="text1"/>
          <w:sz w:val="28"/>
          <w:szCs w:val="28"/>
        </w:rPr>
        <w:t>发展是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公司</w:t>
      </w:r>
      <w:r>
        <w:rPr>
          <w:rFonts w:ascii="仿宋" w:hAnsi="仿宋" w:eastAsia="仿宋"/>
          <w:color w:val="000000" w:themeColor="text1"/>
          <w:sz w:val="28"/>
          <w:szCs w:val="28"/>
        </w:rPr>
        <w:t>应尽的职责。</w:t>
      </w:r>
    </w:p>
    <w:p>
      <w:pPr>
        <w:pStyle w:val="6"/>
        <w:widowControl w:val="0"/>
        <w:spacing w:before="0" w:beforeAutospacing="0" w:after="0" w:afterAutospacing="0" w:line="480" w:lineRule="auto"/>
        <w:ind w:firstLine="562" w:firstLineChars="200"/>
        <w:jc w:val="both"/>
        <w:rPr>
          <w:rFonts w:ascii="仿宋" w:hAnsi="仿宋" w:eastAsia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三、保护债券投资者权益，提高风险意识</w:t>
      </w:r>
    </w:p>
    <w:p>
      <w:pPr>
        <w:pStyle w:val="6"/>
        <w:widowControl w:val="0"/>
        <w:spacing w:before="0" w:beforeAutospacing="0" w:after="0" w:afterAutospacing="0" w:line="480" w:lineRule="auto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ascii="仿宋" w:hAnsi="仿宋" w:eastAsia="仿宋"/>
          <w:color w:val="000000" w:themeColor="text1"/>
          <w:sz w:val="28"/>
          <w:szCs w:val="28"/>
        </w:rPr>
        <w:t>公司本着公开、公平、守信的原则，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积极</w:t>
      </w:r>
      <w:r>
        <w:rPr>
          <w:rFonts w:ascii="仿宋" w:hAnsi="仿宋" w:eastAsia="仿宋"/>
          <w:color w:val="000000" w:themeColor="text1"/>
          <w:sz w:val="28"/>
          <w:szCs w:val="28"/>
        </w:rPr>
        <w:t>对待公司相关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债券投资者，</w:t>
      </w:r>
      <w:r>
        <w:rPr>
          <w:rFonts w:ascii="仿宋" w:hAnsi="仿宋" w:eastAsia="仿宋"/>
          <w:color w:val="000000" w:themeColor="text1"/>
          <w:sz w:val="28"/>
          <w:szCs w:val="28"/>
        </w:rPr>
        <w:t>充分尊重和维护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债券投资者等利益相关者的合法权益，与债券投资者保持良好沟通，积极合作，共同推动公司持续健康的发展，努</w:t>
      </w:r>
      <w:r>
        <w:rPr>
          <w:rFonts w:ascii="仿宋" w:hAnsi="仿宋" w:eastAsia="仿宋"/>
          <w:color w:val="000000" w:themeColor="text1"/>
          <w:sz w:val="28"/>
          <w:szCs w:val="28"/>
        </w:rPr>
        <w:t>力实现各方共赢。</w:t>
      </w:r>
    </w:p>
    <w:p>
      <w:pPr>
        <w:pStyle w:val="6"/>
        <w:widowControl w:val="0"/>
        <w:spacing w:before="0" w:beforeAutospacing="0" w:after="0" w:afterAutospacing="0" w:line="480" w:lineRule="auto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从2015年至今，公司发行了公司债券、中期票据、海外债券、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zh-CN"/>
        </w:rPr>
        <w:t>其他债务融资工具等多品种融资产品，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基于对目前资本市场形势的认识，同时对公司内在价值的认可及公司未来长期发展前景的信心，吸引了众多债券投资者对公司融资产品进行投资。在本次活动期间，公司就回售债券事宜与债券投资者进行了多次沟通，一方面向投资者普及债券业务知识及风险提示，使投资者了解债券投资风险，提高风险防范意识，明晰权利义务以及权益受到侵害时的依法维权途径；另一方面宣传债券法规以及自律规则，使市场各方明确债券市场监管自律要求，增强依法履行权利和义务的自觉性。</w:t>
      </w:r>
    </w:p>
    <w:p>
      <w:pPr>
        <w:pStyle w:val="6"/>
        <w:widowControl w:val="0"/>
        <w:spacing w:before="0" w:beforeAutospacing="0" w:after="0" w:afterAutospacing="0" w:line="480" w:lineRule="auto"/>
        <w:ind w:firstLine="562" w:firstLineChars="200"/>
        <w:jc w:val="both"/>
        <w:rPr>
          <w:rFonts w:hint="eastAsia" w:ascii="仿宋" w:hAnsi="仿宋" w:eastAsia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四、</w:t>
      </w:r>
      <w:r>
        <w:rPr>
          <w:rFonts w:ascii="仿宋" w:hAnsi="仿宋" w:eastAsia="仿宋"/>
          <w:b/>
          <w:color w:val="000000" w:themeColor="text1"/>
          <w:sz w:val="28"/>
          <w:szCs w:val="28"/>
        </w:rPr>
        <w:t>开展多种形式的投资者教育工作</w:t>
      </w:r>
    </w:p>
    <w:p>
      <w:pPr>
        <w:pStyle w:val="6"/>
        <w:widowControl w:val="0"/>
        <w:spacing w:before="0" w:beforeAutospacing="0" w:after="0" w:afterAutospacing="0" w:line="480" w:lineRule="auto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ascii="仿宋" w:hAnsi="仿宋" w:eastAsia="仿宋"/>
          <w:color w:val="000000" w:themeColor="text1"/>
          <w:sz w:val="28"/>
          <w:szCs w:val="28"/>
        </w:rPr>
        <w:t>积极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开展以</w:t>
      </w:r>
      <w:r>
        <w:rPr>
          <w:rFonts w:ascii="仿宋" w:hAnsi="仿宋" w:eastAsia="仿宋"/>
          <w:color w:val="000000" w:themeColor="text1"/>
          <w:sz w:val="28"/>
          <w:szCs w:val="28"/>
        </w:rPr>
        <w:t>“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培育长期投资、价值投资文化</w:t>
      </w:r>
      <w:r>
        <w:rPr>
          <w:rFonts w:ascii="仿宋" w:hAnsi="仿宋" w:eastAsia="仿宋"/>
          <w:color w:val="000000" w:themeColor="text1"/>
          <w:sz w:val="28"/>
          <w:szCs w:val="28"/>
        </w:rPr>
        <w:t>”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“提高中小投资者专业知识水平、风险防范意识”为主题的</w:t>
      </w:r>
      <w:r>
        <w:rPr>
          <w:rFonts w:ascii="仿宋" w:hAnsi="仿宋" w:eastAsia="仿宋"/>
          <w:color w:val="000000" w:themeColor="text1"/>
          <w:sz w:val="28"/>
          <w:szCs w:val="28"/>
        </w:rPr>
        <w:t>投资者教育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专项活动。在本次活动期间，公司及时更新网站投资者关系管理专栏的信息，并增加了</w:t>
      </w:r>
      <w:r>
        <w:rPr>
          <w:rFonts w:ascii="仿宋" w:hAnsi="仿宋" w:eastAsia="仿宋" w:cs="Arial"/>
          <w:color w:val="333333"/>
          <w:sz w:val="28"/>
          <w:szCs w:val="28"/>
        </w:rPr>
        <w:t>“理性投资，从我做起”投资者教育专项</w:t>
      </w:r>
      <w:r>
        <w:rPr>
          <w:rFonts w:ascii="仿宋" w:hAnsi="仿宋" w:eastAsia="仿宋" w:cs="Arial"/>
          <w:color w:val="333333"/>
          <w:sz w:val="28"/>
          <w:szCs w:val="28"/>
          <w:highlight w:val="yellow"/>
        </w:rPr>
        <w:t>活动投教案例</w:t>
      </w:r>
      <w:r>
        <w:rPr>
          <w:rFonts w:hint="eastAsia" w:ascii="仿宋" w:hAnsi="仿宋" w:eastAsia="仿宋" w:cs="Arial"/>
          <w:color w:val="333333"/>
          <w:sz w:val="28"/>
          <w:szCs w:val="28"/>
          <w:highlight w:val="yellow"/>
        </w:rPr>
        <w:t>的宣传</w:t>
      </w:r>
      <w:r>
        <w:rPr>
          <w:rFonts w:hint="eastAsia" w:ascii="仿宋" w:hAnsi="仿宋" w:eastAsia="仿宋" w:cs="Arial"/>
          <w:color w:val="333333"/>
          <w:sz w:val="28"/>
          <w:szCs w:val="28"/>
        </w:rPr>
        <w:t>，</w:t>
      </w:r>
      <w:r>
        <w:rPr>
          <w:rFonts w:ascii="仿宋" w:hAnsi="仿宋" w:eastAsia="仿宋"/>
          <w:color w:val="000000" w:themeColor="text1"/>
          <w:sz w:val="28"/>
          <w:szCs w:val="28"/>
        </w:rPr>
        <w:t>以保护投资者的利益为出发点，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做好</w:t>
      </w:r>
      <w:r>
        <w:rPr>
          <w:rFonts w:ascii="仿宋" w:hAnsi="仿宋" w:eastAsia="仿宋"/>
          <w:color w:val="000000" w:themeColor="text1"/>
          <w:sz w:val="28"/>
          <w:szCs w:val="28"/>
        </w:rPr>
        <w:t>投资者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风险意识</w:t>
      </w:r>
      <w:r>
        <w:rPr>
          <w:rFonts w:ascii="仿宋" w:hAnsi="仿宋" w:eastAsia="仿宋"/>
          <w:color w:val="000000" w:themeColor="text1"/>
          <w:sz w:val="28"/>
          <w:szCs w:val="28"/>
        </w:rPr>
        <w:t>工作，为投资者的理性投资保驾护航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。同时也使广大投资者能够及时了解到公司治理、经营管理、投资交易等方面的信息；公司还通过互动易平台、独立董事监事专栏，有效保持与广大投资者的沟通与交流，及时回复广大投资者关心的公司发展战略、生产经营等方面咨询，正确</w:t>
      </w:r>
      <w:r>
        <w:rPr>
          <w:rStyle w:val="15"/>
          <w:rFonts w:ascii="仿宋" w:hAnsi="仿宋" w:eastAsia="仿宋"/>
          <w:color w:val="000000" w:themeColor="text1"/>
          <w:sz w:val="28"/>
          <w:szCs w:val="28"/>
        </w:rPr>
        <w:t>引导投资者树立理性投资理念，提高风险防范意识和自我保护能力。</w:t>
      </w:r>
    </w:p>
    <w:p>
      <w:pPr>
        <w:pStyle w:val="6"/>
        <w:widowControl w:val="0"/>
        <w:spacing w:before="0" w:beforeAutospacing="0" w:after="0" w:afterAutospacing="0" w:line="480" w:lineRule="auto"/>
        <w:ind w:firstLine="562" w:firstLineChars="200"/>
        <w:jc w:val="both"/>
        <w:rPr>
          <w:rStyle w:val="8"/>
          <w:rFonts w:hint="eastAsia" w:ascii="仿宋" w:hAnsi="仿宋" w:eastAsia="仿宋"/>
          <w:sz w:val="28"/>
          <w:szCs w:val="28"/>
        </w:rPr>
      </w:pPr>
      <w:r>
        <w:rPr>
          <w:rStyle w:val="8"/>
          <w:rFonts w:hint="eastAsia" w:ascii="仿宋" w:hAnsi="仿宋" w:eastAsia="仿宋"/>
          <w:sz w:val="28"/>
          <w:szCs w:val="28"/>
        </w:rPr>
        <w:t>五、结束语</w:t>
      </w:r>
    </w:p>
    <w:p>
      <w:pPr>
        <w:pStyle w:val="6"/>
        <w:widowControl w:val="0"/>
        <w:spacing w:before="0" w:beforeAutospacing="0" w:after="0" w:afterAutospacing="0" w:line="480" w:lineRule="auto"/>
        <w:ind w:firstLine="560" w:firstLineChars="200"/>
        <w:jc w:val="both"/>
        <w:rPr>
          <w:rStyle w:val="8"/>
          <w:rFonts w:hint="eastAsia" w:ascii="仿宋" w:hAnsi="仿宋" w:eastAsia="仿宋"/>
          <w:b w:val="0"/>
          <w:sz w:val="28"/>
          <w:szCs w:val="28"/>
        </w:rPr>
      </w:pPr>
      <w:r>
        <w:rPr>
          <w:rStyle w:val="8"/>
          <w:rFonts w:ascii="仿宋" w:hAnsi="仿宋" w:eastAsia="仿宋"/>
          <w:b w:val="0"/>
          <w:sz w:val="28"/>
          <w:szCs w:val="28"/>
        </w:rPr>
        <w:t>持续提高中小投资者的专业知识水平和风险防范意识，是一个长期过程。市场建设也需要群策群力，期待投资者和市场各方共同努力，“从我做起”，共同营造良好的投资文化和理念，努力建设富有国际竞争力的中国特色资本市场。</w:t>
      </w:r>
    </w:p>
    <w:p>
      <w:pPr>
        <w:pStyle w:val="6"/>
        <w:widowControl w:val="0"/>
        <w:spacing w:before="0" w:beforeAutospacing="0" w:after="0" w:afterAutospacing="0" w:line="480" w:lineRule="auto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阳光城作为市场的参与主体，也将继续加大加强对投资者教育工作的投入与实践，不断创新投资者教育的手段，积极开展投资者教育活动，以实际行动保护投资者权益，营造良好的公平投资氛围，引导广大投资者树立正确投资理念、提高风险防范意识、全面了解维权渠道、增强自我保护能力，为促进证券市场的健康稳定发展奉献绵薄之力。</w:t>
      </w:r>
    </w:p>
    <w:p>
      <w:pPr>
        <w:pStyle w:val="6"/>
        <w:widowControl w:val="0"/>
        <w:spacing w:before="0" w:beforeAutospacing="0" w:after="0" w:afterAutospacing="0" w:line="480" w:lineRule="auto"/>
        <w:ind w:firstLine="560" w:firstLineChars="200"/>
        <w:jc w:val="both"/>
        <w:rPr>
          <w:rFonts w:hint="eastAsia" w:ascii="仿宋" w:hAnsi="仿宋" w:eastAsia="仿宋"/>
          <w:color w:val="000000" w:themeColor="text1"/>
          <w:sz w:val="28"/>
          <w:szCs w:val="28"/>
        </w:rPr>
      </w:pPr>
    </w:p>
    <w:p>
      <w:pPr>
        <w:pStyle w:val="6"/>
        <w:widowControl w:val="0"/>
        <w:spacing w:before="0" w:beforeAutospacing="0" w:after="0" w:afterAutospacing="0" w:line="480" w:lineRule="auto"/>
        <w:ind w:firstLine="560" w:firstLineChars="200"/>
        <w:jc w:val="both"/>
        <w:rPr>
          <w:rFonts w:ascii="仿宋" w:hAnsi="仿宋" w:eastAsia="仿宋"/>
          <w:color w:val="000000" w:themeColor="text1"/>
          <w:sz w:val="28"/>
          <w:szCs w:val="28"/>
        </w:rPr>
      </w:pPr>
    </w:p>
    <w:p>
      <w:pPr>
        <w:pStyle w:val="6"/>
        <w:widowControl w:val="0"/>
        <w:spacing w:before="0" w:beforeAutospacing="0" w:after="0" w:afterAutospacing="0" w:line="480" w:lineRule="auto"/>
        <w:jc w:val="right"/>
        <w:rPr>
          <w:rFonts w:ascii="仿宋" w:hAnsi="仿宋" w:eastAsia="仿宋"/>
          <w:b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阳光城集团股份有限公司</w:t>
      </w:r>
    </w:p>
    <w:p>
      <w:pPr>
        <w:pStyle w:val="6"/>
        <w:widowControl w:val="0"/>
        <w:spacing w:before="0" w:beforeAutospacing="0" w:after="0" w:afterAutospacing="0" w:line="480" w:lineRule="auto"/>
        <w:ind w:right="680"/>
        <w:jc w:val="righ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2018年5月</w:t>
      </w:r>
    </w:p>
    <w:p>
      <w:pPr>
        <w:pStyle w:val="6"/>
        <w:spacing w:before="0" w:beforeAutospacing="0" w:after="0" w:afterAutospacing="0" w:line="480" w:lineRule="auto"/>
        <w:ind w:right="120"/>
        <w:jc w:val="right"/>
        <w:rPr>
          <w:rFonts w:ascii="仿宋" w:hAnsi="仿宋" w:eastAsia="仿宋"/>
          <w:b/>
          <w:color w:val="FF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0858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5E"/>
    <w:rsid w:val="00017666"/>
    <w:rsid w:val="000331C7"/>
    <w:rsid w:val="000650A3"/>
    <w:rsid w:val="0008752F"/>
    <w:rsid w:val="00090159"/>
    <w:rsid w:val="00124269"/>
    <w:rsid w:val="00150A8A"/>
    <w:rsid w:val="00161E30"/>
    <w:rsid w:val="001728E7"/>
    <w:rsid w:val="0018413D"/>
    <w:rsid w:val="00236047"/>
    <w:rsid w:val="002B5741"/>
    <w:rsid w:val="002F669D"/>
    <w:rsid w:val="00300BA2"/>
    <w:rsid w:val="003315EE"/>
    <w:rsid w:val="003320AF"/>
    <w:rsid w:val="0036122C"/>
    <w:rsid w:val="003712EB"/>
    <w:rsid w:val="00384F3C"/>
    <w:rsid w:val="003B6EFC"/>
    <w:rsid w:val="003D3FFE"/>
    <w:rsid w:val="003E6359"/>
    <w:rsid w:val="003F57D1"/>
    <w:rsid w:val="00436ED6"/>
    <w:rsid w:val="004522DA"/>
    <w:rsid w:val="00453EE4"/>
    <w:rsid w:val="00472206"/>
    <w:rsid w:val="004726A7"/>
    <w:rsid w:val="004B0960"/>
    <w:rsid w:val="004F011B"/>
    <w:rsid w:val="00551106"/>
    <w:rsid w:val="005D07AF"/>
    <w:rsid w:val="005D49D5"/>
    <w:rsid w:val="005F1056"/>
    <w:rsid w:val="006239BC"/>
    <w:rsid w:val="0068366A"/>
    <w:rsid w:val="006B52B5"/>
    <w:rsid w:val="006F3DF7"/>
    <w:rsid w:val="0071018E"/>
    <w:rsid w:val="00717BC1"/>
    <w:rsid w:val="00747088"/>
    <w:rsid w:val="00752C18"/>
    <w:rsid w:val="00754EBB"/>
    <w:rsid w:val="00797701"/>
    <w:rsid w:val="00824823"/>
    <w:rsid w:val="00870A5C"/>
    <w:rsid w:val="008755CC"/>
    <w:rsid w:val="008C157C"/>
    <w:rsid w:val="008F035E"/>
    <w:rsid w:val="00910E9C"/>
    <w:rsid w:val="00913AC0"/>
    <w:rsid w:val="00935D06"/>
    <w:rsid w:val="009D3FF8"/>
    <w:rsid w:val="00A816BF"/>
    <w:rsid w:val="00AB37F6"/>
    <w:rsid w:val="00AC5092"/>
    <w:rsid w:val="00B246CA"/>
    <w:rsid w:val="00B37CA0"/>
    <w:rsid w:val="00B62821"/>
    <w:rsid w:val="00B64A62"/>
    <w:rsid w:val="00B73703"/>
    <w:rsid w:val="00BA7AEE"/>
    <w:rsid w:val="00BB5970"/>
    <w:rsid w:val="00BF089C"/>
    <w:rsid w:val="00C05B8C"/>
    <w:rsid w:val="00C164B9"/>
    <w:rsid w:val="00C2576C"/>
    <w:rsid w:val="00C300E3"/>
    <w:rsid w:val="00C520C3"/>
    <w:rsid w:val="00CA052A"/>
    <w:rsid w:val="00CE4FF2"/>
    <w:rsid w:val="00D15138"/>
    <w:rsid w:val="00D36620"/>
    <w:rsid w:val="00D42415"/>
    <w:rsid w:val="00D62645"/>
    <w:rsid w:val="00DE58AF"/>
    <w:rsid w:val="00E24EF3"/>
    <w:rsid w:val="00E31DD3"/>
    <w:rsid w:val="00E63D57"/>
    <w:rsid w:val="00E931AE"/>
    <w:rsid w:val="00EA5F56"/>
    <w:rsid w:val="00EE7CF9"/>
    <w:rsid w:val="00F227A1"/>
    <w:rsid w:val="00F31D97"/>
    <w:rsid w:val="00F46A9C"/>
    <w:rsid w:val="00F51C4C"/>
    <w:rsid w:val="00F819E3"/>
    <w:rsid w:val="00F90057"/>
    <w:rsid w:val="00FB57E6"/>
    <w:rsid w:val="00FC5473"/>
    <w:rsid w:val="00FD07C8"/>
    <w:rsid w:val="00FD20C3"/>
    <w:rsid w:val="00FD40D5"/>
    <w:rsid w:val="00FF1E01"/>
    <w:rsid w:val="417B5F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uiPriority w:val="99"/>
    <w:rPr>
      <w:sz w:val="18"/>
      <w:szCs w:val="18"/>
    </w:rPr>
  </w:style>
  <w:style w:type="character" w:customStyle="1" w:styleId="15">
    <w:name w:val="bjh-p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275</Words>
  <Characters>1568</Characters>
  <Lines>13</Lines>
  <Paragraphs>3</Paragraphs>
  <TotalTime>417</TotalTime>
  <ScaleCrop>false</ScaleCrop>
  <LinksUpToDate>false</LinksUpToDate>
  <CharactersWithSpaces>1840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2017-12-20T06:55:00Z</dcterms:created>
  <dc:creator>User</dc:creator>
  <cp:lastModifiedBy>Mia_Gospel</cp:lastModifiedBy>
  <dcterms:modified xsi:type="dcterms:W3CDTF">2018-05-18T08:21:05Z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